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2E" w:rsidRPr="004A6D65" w:rsidRDefault="00586A2E" w:rsidP="00586A2E">
      <w:pPr>
        <w:pStyle w:val="a6"/>
        <w:ind w:left="11340"/>
        <w:rPr>
          <w:rFonts w:ascii="Liberation Serif" w:hAnsi="Liberation Serif"/>
          <w:sz w:val="24"/>
          <w:szCs w:val="24"/>
        </w:rPr>
      </w:pPr>
      <w:r w:rsidRPr="004A6D65">
        <w:rPr>
          <w:rFonts w:ascii="Liberation Serif" w:hAnsi="Liberation Serif"/>
          <w:sz w:val="24"/>
          <w:szCs w:val="24"/>
        </w:rPr>
        <w:t>УТВЕРЖДАЮ</w:t>
      </w:r>
    </w:p>
    <w:p w:rsidR="00586A2E" w:rsidRDefault="00695B00" w:rsidP="00586A2E">
      <w:pPr>
        <w:pStyle w:val="a6"/>
        <w:ind w:left="113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городского округа Краснотурьинск</w:t>
      </w:r>
    </w:p>
    <w:p w:rsidR="00695B00" w:rsidRPr="004A6D65" w:rsidRDefault="00695B00" w:rsidP="00586A2E">
      <w:pPr>
        <w:pStyle w:val="a6"/>
        <w:ind w:left="113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А.Ю.Устинов</w:t>
      </w:r>
    </w:p>
    <w:p w:rsidR="00586A2E" w:rsidRPr="004A6D65" w:rsidRDefault="00586A2E" w:rsidP="00586A2E">
      <w:pPr>
        <w:pStyle w:val="a6"/>
        <w:ind w:left="11340"/>
        <w:rPr>
          <w:rFonts w:ascii="Liberation Serif" w:hAnsi="Liberation Serif"/>
          <w:sz w:val="24"/>
          <w:szCs w:val="24"/>
        </w:rPr>
      </w:pPr>
      <w:r w:rsidRPr="004A6D65">
        <w:rPr>
          <w:rFonts w:ascii="Liberation Serif" w:hAnsi="Liberation Serif"/>
          <w:sz w:val="24"/>
          <w:szCs w:val="24"/>
        </w:rPr>
        <w:t>____________________</w:t>
      </w:r>
    </w:p>
    <w:p w:rsidR="00586A2E" w:rsidRDefault="00586A2E" w:rsidP="00586A2E">
      <w:pPr>
        <w:ind w:left="11482"/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>(подпись)</w:t>
      </w:r>
    </w:p>
    <w:p w:rsidR="00586A2E" w:rsidRPr="004A6D65" w:rsidRDefault="00695B00" w:rsidP="00586A2E">
      <w:pPr>
        <w:pStyle w:val="a6"/>
        <w:ind w:left="10620" w:firstLine="708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</w:t>
      </w:r>
      <w:r w:rsidR="00586A2E" w:rsidRPr="004A6D65">
        <w:rPr>
          <w:rFonts w:ascii="Liberation Serif" w:hAnsi="Liberation Serif"/>
          <w:sz w:val="20"/>
          <w:szCs w:val="20"/>
        </w:rPr>
        <w:t>___</w:t>
      </w:r>
      <w:r w:rsidRPr="00695B00">
        <w:rPr>
          <w:rFonts w:ascii="Liberation Serif" w:hAnsi="Liberation Serif"/>
          <w:sz w:val="24"/>
          <w:szCs w:val="24"/>
          <w:u w:val="single"/>
        </w:rPr>
        <w:t>06.06.2019</w:t>
      </w:r>
      <w:r w:rsidR="00586A2E" w:rsidRPr="004A6D65">
        <w:rPr>
          <w:rFonts w:ascii="Liberation Serif" w:hAnsi="Liberation Serif"/>
          <w:sz w:val="20"/>
          <w:szCs w:val="20"/>
        </w:rPr>
        <w:t>__________</w:t>
      </w:r>
    </w:p>
    <w:p w:rsidR="00586A2E" w:rsidRPr="004A6D65" w:rsidRDefault="00586A2E" w:rsidP="00586A2E">
      <w:pPr>
        <w:pStyle w:val="a6"/>
        <w:rPr>
          <w:rFonts w:ascii="Liberation Serif" w:hAnsi="Liberation Serif"/>
          <w:sz w:val="20"/>
          <w:szCs w:val="20"/>
        </w:rPr>
      </w:pPr>
      <w:r w:rsidRPr="004A6D65">
        <w:rPr>
          <w:rFonts w:ascii="Liberation Serif" w:hAnsi="Liberation Serif"/>
          <w:sz w:val="20"/>
          <w:szCs w:val="20"/>
        </w:rPr>
        <w:t xml:space="preserve">        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 w:rsidRPr="004A6D65">
        <w:rPr>
          <w:rFonts w:ascii="Liberation Serif" w:hAnsi="Liberation Serif"/>
          <w:sz w:val="20"/>
          <w:szCs w:val="20"/>
        </w:rPr>
        <w:t xml:space="preserve">  (дата)</w:t>
      </w:r>
    </w:p>
    <w:p w:rsidR="00586A2E" w:rsidRDefault="00586A2E" w:rsidP="00586A2E"/>
    <w:p w:rsidR="00586A2E" w:rsidRDefault="00586A2E" w:rsidP="00586A2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ИНН 6617001284 </w:t>
      </w:r>
    </w:p>
    <w:p w:rsidR="00586A2E" w:rsidRDefault="00586A2E" w:rsidP="00586A2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86A2E" w:rsidRDefault="00586A2E" w:rsidP="00586A2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72BD">
        <w:rPr>
          <w:rFonts w:ascii="Liberation Serif" w:hAnsi="Liberation Serif" w:cs="Times New Roman"/>
          <w:b/>
          <w:sz w:val="24"/>
          <w:szCs w:val="24"/>
        </w:rPr>
        <w:t xml:space="preserve">План </w:t>
      </w:r>
    </w:p>
    <w:p w:rsidR="00586A2E" w:rsidRDefault="00586A2E" w:rsidP="00586A2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72BD">
        <w:rPr>
          <w:rFonts w:ascii="Liberation Serif" w:hAnsi="Liberation Serif" w:cs="Times New Roman"/>
          <w:b/>
          <w:sz w:val="24"/>
          <w:szCs w:val="24"/>
        </w:rPr>
        <w:t xml:space="preserve">по </w:t>
      </w:r>
      <w:r>
        <w:rPr>
          <w:rFonts w:ascii="Liberation Serif" w:hAnsi="Liberation Serif" w:cs="Times New Roman"/>
          <w:b/>
          <w:sz w:val="24"/>
          <w:szCs w:val="24"/>
        </w:rPr>
        <w:t>устранению недостатков, выявленных в ходе</w:t>
      </w:r>
      <w:r w:rsidRPr="00F672BD">
        <w:rPr>
          <w:rFonts w:ascii="Liberation Serif" w:hAnsi="Liberation Serif" w:cs="Times New Roman"/>
          <w:b/>
          <w:sz w:val="24"/>
          <w:szCs w:val="24"/>
        </w:rPr>
        <w:t xml:space="preserve"> независимой </w:t>
      </w:r>
      <w:proofErr w:type="gramStart"/>
      <w:r w:rsidRPr="00F672BD">
        <w:rPr>
          <w:rFonts w:ascii="Liberation Serif" w:hAnsi="Liberation Serif" w:cs="Times New Roman"/>
          <w:b/>
          <w:sz w:val="24"/>
          <w:szCs w:val="24"/>
        </w:rPr>
        <w:t>оценки качества</w:t>
      </w:r>
      <w:r>
        <w:rPr>
          <w:rFonts w:ascii="Liberation Serif" w:hAnsi="Liberation Serif" w:cs="Times New Roman"/>
          <w:b/>
          <w:sz w:val="24"/>
          <w:szCs w:val="24"/>
        </w:rPr>
        <w:t xml:space="preserve"> условий </w:t>
      </w:r>
      <w:r w:rsidRPr="00F672BD">
        <w:rPr>
          <w:rFonts w:ascii="Liberation Serif" w:hAnsi="Liberation Serif" w:cs="Times New Roman"/>
          <w:b/>
          <w:sz w:val="24"/>
          <w:szCs w:val="24"/>
        </w:rPr>
        <w:t xml:space="preserve"> оказания услуг</w:t>
      </w:r>
      <w:proofErr w:type="gramEnd"/>
    </w:p>
    <w:p w:rsidR="00586A2E" w:rsidRPr="00F672BD" w:rsidRDefault="00586A2E" w:rsidP="00586A2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F672B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F672BD">
        <w:rPr>
          <w:rFonts w:ascii="Liberation Serif" w:hAnsi="Liberation Serif" w:cs="Times New Roman"/>
          <w:b/>
          <w:sz w:val="24"/>
          <w:szCs w:val="24"/>
          <w:u w:val="single"/>
        </w:rPr>
        <w:t>муниципальным автономным учреждением культуры городского округа Краснотурьинск «</w:t>
      </w:r>
      <w:proofErr w:type="spellStart"/>
      <w:r w:rsidRPr="00F672BD">
        <w:rPr>
          <w:rFonts w:ascii="Liberation Serif" w:hAnsi="Liberation Serif" w:cs="Times New Roman"/>
          <w:b/>
          <w:sz w:val="24"/>
          <w:szCs w:val="24"/>
          <w:u w:val="single"/>
        </w:rPr>
        <w:t>Краснотурьинский</w:t>
      </w:r>
      <w:proofErr w:type="spellEnd"/>
      <w:r w:rsidRPr="00F672BD">
        <w:rPr>
          <w:rFonts w:ascii="Liberation Serif" w:hAnsi="Liberation Serif" w:cs="Times New Roman"/>
          <w:b/>
          <w:sz w:val="24"/>
          <w:szCs w:val="24"/>
          <w:u w:val="single"/>
        </w:rPr>
        <w:t xml:space="preserve"> театр кукол»</w:t>
      </w:r>
    </w:p>
    <w:p w:rsidR="00586A2E" w:rsidRDefault="00586A2E" w:rsidP="00586A2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vertAlign w:val="subscript"/>
        </w:rPr>
      </w:pPr>
      <w:r w:rsidRPr="00F672BD">
        <w:rPr>
          <w:rFonts w:ascii="Liberation Serif" w:hAnsi="Liberation Serif" w:cs="Times New Roman"/>
          <w:sz w:val="24"/>
          <w:szCs w:val="24"/>
          <w:vertAlign w:val="subscript"/>
        </w:rPr>
        <w:t xml:space="preserve"> (наименование организации)</w:t>
      </w:r>
    </w:p>
    <w:p w:rsidR="00586A2E" w:rsidRPr="005679DA" w:rsidRDefault="00586A2E" w:rsidP="00586A2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679DA">
        <w:rPr>
          <w:rFonts w:ascii="Liberation Serif" w:hAnsi="Liberation Serif" w:cs="Times New Roman"/>
          <w:b/>
          <w:sz w:val="24"/>
          <w:szCs w:val="24"/>
        </w:rPr>
        <w:t>на 2019 год</w:t>
      </w:r>
    </w:p>
    <w:p w:rsidR="00586A2E" w:rsidRPr="00F672BD" w:rsidRDefault="00586A2E" w:rsidP="00586A2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vertAlign w:val="subscript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2802"/>
        <w:gridCol w:w="3402"/>
        <w:gridCol w:w="1984"/>
        <w:gridCol w:w="2693"/>
        <w:gridCol w:w="2476"/>
        <w:gridCol w:w="76"/>
        <w:gridCol w:w="1559"/>
      </w:tblGrid>
      <w:tr w:rsidR="00586A2E" w:rsidRPr="00F672BD" w:rsidTr="007109D8">
        <w:trPr>
          <w:trHeight w:val="1285"/>
        </w:trPr>
        <w:tc>
          <w:tcPr>
            <w:tcW w:w="2802" w:type="dxa"/>
            <w:vMerge w:val="restart"/>
          </w:tcPr>
          <w:p w:rsidR="00586A2E" w:rsidRPr="00F672BD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402" w:type="dxa"/>
            <w:vMerge w:val="restart"/>
          </w:tcPr>
          <w:p w:rsidR="00586A2E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 xml:space="preserve"> мероприятия</w:t>
            </w:r>
          </w:p>
          <w:p w:rsidR="00586A2E" w:rsidRPr="00F672BD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 устранению недостатков, выявленных в ходе независимой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4" w:type="dxa"/>
            <w:vMerge w:val="restart"/>
          </w:tcPr>
          <w:p w:rsidR="00586A2E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Плановый </w:t>
            </w:r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>срок реализации</w:t>
            </w:r>
          </w:p>
          <w:p w:rsidR="00586A2E" w:rsidRPr="00F672BD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586A2E" w:rsidRPr="00F672BD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исполнитель (с указанием фамилии, имени, отчества и  должности)</w:t>
            </w:r>
          </w:p>
        </w:tc>
        <w:tc>
          <w:tcPr>
            <w:tcW w:w="4111" w:type="dxa"/>
            <w:gridSpan w:val="3"/>
          </w:tcPr>
          <w:p w:rsidR="00586A2E" w:rsidRPr="00F672BD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586A2E" w:rsidRPr="00F672BD" w:rsidTr="007109D8">
        <w:trPr>
          <w:trHeight w:val="1285"/>
        </w:trPr>
        <w:tc>
          <w:tcPr>
            <w:tcW w:w="2802" w:type="dxa"/>
            <w:vMerge/>
          </w:tcPr>
          <w:p w:rsidR="00586A2E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6A2E" w:rsidRPr="00F672BD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6A2E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6A2E" w:rsidRPr="00F672BD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86A2E" w:rsidRPr="00F672BD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586A2E" w:rsidRPr="00F672BD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фактический срок  реализации</w:t>
            </w:r>
          </w:p>
        </w:tc>
      </w:tr>
      <w:tr w:rsidR="00586A2E" w:rsidRPr="00F672BD" w:rsidTr="007109D8">
        <w:tc>
          <w:tcPr>
            <w:tcW w:w="14992" w:type="dxa"/>
            <w:gridSpan w:val="7"/>
          </w:tcPr>
          <w:p w:rsidR="00586A2E" w:rsidRPr="00F672BD" w:rsidRDefault="00586A2E" w:rsidP="007109D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40458E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F672B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Открытость и доступность информации об организации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или о федеральном учреждении медико-социальной экспертизы</w:t>
            </w:r>
          </w:p>
        </w:tc>
      </w:tr>
      <w:tr w:rsidR="00586A2E" w:rsidRPr="00F672BD" w:rsidTr="007109D8">
        <w:tc>
          <w:tcPr>
            <w:tcW w:w="2802" w:type="dxa"/>
          </w:tcPr>
          <w:p w:rsidR="00586A2E" w:rsidRPr="00B370BD" w:rsidRDefault="00695B00" w:rsidP="00AB7343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Неполное соответствие информации о деятельности муниципального автономного учреждения культуры городского округа Краснотурьинск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театр кукол»</w:t>
            </w:r>
            <w:r w:rsidR="00AB7343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размещенной </w:t>
            </w:r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 xml:space="preserve"> на информационных стендах 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помещении муниципального автономного учреждения культуры городского округа Краснотурьинск 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театр кукол» актуальным требованиям законодательства РФ, распоряжением учредителя и т.д.</w:t>
            </w:r>
          </w:p>
        </w:tc>
        <w:tc>
          <w:tcPr>
            <w:tcW w:w="3402" w:type="dxa"/>
          </w:tcPr>
          <w:p w:rsidR="00586A2E" w:rsidRPr="00F672BD" w:rsidRDefault="00695B00" w:rsidP="009B12B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Актуализация информации о деятельности муниципального автономного учреждения культуры городского округа Краснотурьинск 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театр кукол», размещенной </w:t>
            </w:r>
            <w:r w:rsidR="00586A2E" w:rsidRPr="00F672BD">
              <w:rPr>
                <w:rFonts w:ascii="Liberation Serif" w:hAnsi="Liberation Serif" w:cs="Times New Roman"/>
                <w:sz w:val="24"/>
                <w:szCs w:val="24"/>
              </w:rPr>
              <w:t xml:space="preserve"> на информационных стендах 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помещении муниципального автономного учреждения культуры городского округа Краснотурьинск 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театр кукол» актуальным требованиям законодательства РФ, распоряжением учредителя и т.д.</w:t>
            </w:r>
          </w:p>
        </w:tc>
        <w:tc>
          <w:tcPr>
            <w:tcW w:w="1984" w:type="dxa"/>
          </w:tcPr>
          <w:p w:rsidR="00586A2E" w:rsidRPr="00F672BD" w:rsidRDefault="002133CA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31.10</w:t>
            </w:r>
            <w:r w:rsidR="00695B00">
              <w:rPr>
                <w:rFonts w:ascii="Liberation Serif" w:hAnsi="Liberation Serif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</w:tcPr>
          <w:p w:rsidR="00586A2E" w:rsidRPr="00F672BD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>Телицына</w:t>
            </w:r>
            <w:proofErr w:type="spellEnd"/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Алевтина Александровна, главный администратор</w:t>
            </w:r>
          </w:p>
        </w:tc>
        <w:tc>
          <w:tcPr>
            <w:tcW w:w="2476" w:type="dxa"/>
          </w:tcPr>
          <w:p w:rsidR="00586A2E" w:rsidRPr="00F672BD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586A2E" w:rsidRPr="00F672BD" w:rsidRDefault="00586A2E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7343" w:rsidRPr="00F672BD" w:rsidTr="007109D8">
        <w:tc>
          <w:tcPr>
            <w:tcW w:w="2802" w:type="dxa"/>
            <w:vMerge w:val="restart"/>
          </w:tcPr>
          <w:p w:rsidR="00AB7343" w:rsidRPr="00B370BD" w:rsidRDefault="00AB7343" w:rsidP="00AB7343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Неполное соответствие информации о деятельности муниципального автономного учреждения культуры городского округа Краснотурьинск 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театр кукол», размещенной </w:t>
            </w:r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 xml:space="preserve"> 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официальном сайте муниципального автономного учреждения культуры городского округа Краснотурьинск 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театр кукол» актуальным требованиям законодательства РФ, распоряжением учредителя и т.д.</w:t>
            </w:r>
          </w:p>
        </w:tc>
        <w:tc>
          <w:tcPr>
            <w:tcW w:w="3402" w:type="dxa"/>
          </w:tcPr>
          <w:p w:rsidR="00AB7343" w:rsidRPr="00F672BD" w:rsidRDefault="00AB7343" w:rsidP="00AB734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Актуализация информации о деятельности муниципального автономного учреждения культуры городского округа Краснотурьинск 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театр кукол», размещенной </w:t>
            </w:r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 xml:space="preserve"> 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официальном сайте муниципального автономного учреждения культуры городского округа Краснотурьинск 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театр кукол» актуальным требованиям законодательства РФ, распоряжением учредителя и т.д.</w:t>
            </w:r>
          </w:p>
        </w:tc>
        <w:tc>
          <w:tcPr>
            <w:tcW w:w="1984" w:type="dxa"/>
          </w:tcPr>
          <w:p w:rsidR="00AB7343" w:rsidRPr="00F672BD" w:rsidRDefault="002133CA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10.06</w:t>
            </w:r>
            <w:r w:rsidR="00AB7343">
              <w:rPr>
                <w:rFonts w:ascii="Liberation Serif" w:hAnsi="Liberation Serif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</w:tcPr>
          <w:p w:rsidR="00AB7343" w:rsidRPr="00F672BD" w:rsidRDefault="00AB7343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>Панева</w:t>
            </w:r>
            <w:proofErr w:type="spellEnd"/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Елена Анатольевна, руководитель литературно-драматургической части</w:t>
            </w:r>
          </w:p>
        </w:tc>
        <w:tc>
          <w:tcPr>
            <w:tcW w:w="2476" w:type="dxa"/>
          </w:tcPr>
          <w:p w:rsidR="00AB7343" w:rsidRPr="00F672BD" w:rsidRDefault="00AB7343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AB7343" w:rsidRPr="00F672BD" w:rsidRDefault="00AB7343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32374" w:rsidRPr="00F672BD" w:rsidTr="00D35939">
        <w:trPr>
          <w:trHeight w:val="4692"/>
        </w:trPr>
        <w:tc>
          <w:tcPr>
            <w:tcW w:w="2802" w:type="dxa"/>
            <w:vMerge/>
          </w:tcPr>
          <w:p w:rsidR="00232374" w:rsidRPr="00F672BD" w:rsidRDefault="00232374" w:rsidP="007109D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374" w:rsidRPr="00F672BD" w:rsidRDefault="00232374" w:rsidP="008842B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Актуализация информации о деятельности муниципального автономного учреждения культуры городского округа Краснотурьинск 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театр кукол», размещенной </w:t>
            </w:r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 xml:space="preserve"> 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официальном сайте муниципального автономного учреждения культуры городского округа Краснотурьинск 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театр кукол» актуальным требованиям законодательства РФ, распоряжением учредителя и т.д.</w:t>
            </w:r>
          </w:p>
        </w:tc>
        <w:tc>
          <w:tcPr>
            <w:tcW w:w="1984" w:type="dxa"/>
          </w:tcPr>
          <w:p w:rsidR="00232374" w:rsidRPr="00F672BD" w:rsidRDefault="00232374" w:rsidP="008842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15.12.2019</w:t>
            </w:r>
          </w:p>
        </w:tc>
        <w:tc>
          <w:tcPr>
            <w:tcW w:w="2693" w:type="dxa"/>
          </w:tcPr>
          <w:p w:rsidR="00232374" w:rsidRPr="00F672BD" w:rsidRDefault="00232374" w:rsidP="008842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>Панева</w:t>
            </w:r>
            <w:proofErr w:type="spellEnd"/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Елена Анатольевна, руководитель литературно-драматургической части</w:t>
            </w:r>
          </w:p>
        </w:tc>
        <w:tc>
          <w:tcPr>
            <w:tcW w:w="2476" w:type="dxa"/>
          </w:tcPr>
          <w:p w:rsidR="00232374" w:rsidRPr="00F672BD" w:rsidRDefault="00232374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232374" w:rsidRPr="00F672BD" w:rsidRDefault="00232374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E112B" w:rsidRPr="00F672BD" w:rsidTr="007109D8">
        <w:tc>
          <w:tcPr>
            <w:tcW w:w="14992" w:type="dxa"/>
            <w:gridSpan w:val="7"/>
          </w:tcPr>
          <w:p w:rsidR="00AE112B" w:rsidRPr="00F672BD" w:rsidRDefault="00AE112B" w:rsidP="007109D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. </w:t>
            </w:r>
            <w:r w:rsidRPr="00F672B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Комфортность условий предоставления услуг</w:t>
            </w:r>
          </w:p>
        </w:tc>
      </w:tr>
      <w:tr w:rsidR="00D965C9" w:rsidRPr="00F672BD" w:rsidTr="00A21061">
        <w:tc>
          <w:tcPr>
            <w:tcW w:w="14992" w:type="dxa"/>
            <w:gridSpan w:val="7"/>
          </w:tcPr>
          <w:p w:rsidR="00D965C9" w:rsidRDefault="00D965C9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E112B" w:rsidRPr="00F672BD" w:rsidTr="007109D8">
        <w:tc>
          <w:tcPr>
            <w:tcW w:w="14992" w:type="dxa"/>
            <w:gridSpan w:val="7"/>
          </w:tcPr>
          <w:p w:rsidR="00AE112B" w:rsidRDefault="00AE112B" w:rsidP="007109D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E112B" w:rsidRPr="00F672BD" w:rsidRDefault="00AE112B" w:rsidP="007109D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. </w:t>
            </w:r>
            <w:r w:rsidRPr="00F672BD">
              <w:rPr>
                <w:rFonts w:ascii="Liberation Serif" w:hAnsi="Liberation Serif" w:cs="Times New Roman"/>
                <w:b/>
                <w:sz w:val="24"/>
                <w:szCs w:val="24"/>
              </w:rPr>
              <w:t>Доступность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услуг </w:t>
            </w:r>
            <w:r w:rsidRPr="00F672B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для инвалидов</w:t>
            </w:r>
          </w:p>
          <w:p w:rsidR="00AE112B" w:rsidRPr="00F672BD" w:rsidRDefault="00AE112B" w:rsidP="007109D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AE112B" w:rsidRPr="00F672BD" w:rsidTr="007109D8">
        <w:tc>
          <w:tcPr>
            <w:tcW w:w="2802" w:type="dxa"/>
            <w:vMerge w:val="restart"/>
          </w:tcPr>
          <w:p w:rsidR="00AE112B" w:rsidRDefault="000F5281" w:rsidP="000F528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Необходимость улучшения условий доступности, позволяющих инвалидам получать услуги наравне с лицами, не имеющими ограничений по возможностям здоровья</w:t>
            </w:r>
          </w:p>
        </w:tc>
        <w:tc>
          <w:tcPr>
            <w:tcW w:w="3402" w:type="dxa"/>
          </w:tcPr>
          <w:p w:rsidR="00AE112B" w:rsidRPr="00F672BD" w:rsidRDefault="000F5281" w:rsidP="000F528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Расширение  оборудования, позволяющего инвалидам получать услуги наравне с лицами, не имеющими ограничений по возможностям здоровья (п</w:t>
            </w:r>
            <w:r w:rsidR="00AE112B">
              <w:rPr>
                <w:rFonts w:ascii="Liberation Serif" w:hAnsi="Liberation Serif" w:cs="Times New Roman"/>
                <w:sz w:val="24"/>
                <w:szCs w:val="24"/>
              </w:rPr>
              <w:t>риобретение антивандальной кнопки вызова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 установка ее на входной группе здания)</w:t>
            </w:r>
          </w:p>
        </w:tc>
        <w:tc>
          <w:tcPr>
            <w:tcW w:w="1984" w:type="dxa"/>
          </w:tcPr>
          <w:p w:rsidR="00AE112B" w:rsidRPr="00F672BD" w:rsidRDefault="002133CA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30.08</w:t>
            </w:r>
            <w:r w:rsidR="000F5281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AE112B">
              <w:rPr>
                <w:rFonts w:ascii="Liberation Serif" w:hAnsi="Liberation Serif" w:cs="Times New Roman"/>
                <w:sz w:val="24"/>
                <w:szCs w:val="24"/>
              </w:rPr>
              <w:t xml:space="preserve"> 2019</w:t>
            </w:r>
            <w:r w:rsidR="00AE112B" w:rsidRPr="00F672B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E112B" w:rsidRPr="00F672BD" w:rsidRDefault="00AE112B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>Сатюкова</w:t>
            </w:r>
            <w:proofErr w:type="spellEnd"/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Мария Алексеевна, заместитель директора по общим вопросам</w:t>
            </w:r>
          </w:p>
        </w:tc>
        <w:tc>
          <w:tcPr>
            <w:tcW w:w="2476" w:type="dxa"/>
            <w:vAlign w:val="center"/>
          </w:tcPr>
          <w:p w:rsidR="00AE112B" w:rsidRDefault="00AE112B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E112B" w:rsidRDefault="00AE112B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E112B" w:rsidRDefault="00AE112B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E112B" w:rsidRDefault="00AE112B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E112B" w:rsidRPr="00F672BD" w:rsidRDefault="00AE112B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AE112B" w:rsidRPr="00F672BD" w:rsidRDefault="00AE112B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F5281" w:rsidRPr="00F672BD" w:rsidTr="007109D8">
        <w:tc>
          <w:tcPr>
            <w:tcW w:w="2802" w:type="dxa"/>
            <w:vMerge/>
          </w:tcPr>
          <w:p w:rsidR="000F5281" w:rsidRDefault="000F5281" w:rsidP="007109D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5281" w:rsidRPr="00F672BD" w:rsidRDefault="000F5281" w:rsidP="008F575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Расширение  оборудования, позволяющего инвалидам получать услуги наравне с лицами, не имеющими ограничений по возможностям здоровья (приобретение «бегущей строки» для </w:t>
            </w:r>
            <w:r w:rsidR="008F5752">
              <w:rPr>
                <w:rFonts w:ascii="Liberation Serif" w:hAnsi="Liberation Serif" w:cs="Times New Roman"/>
                <w:sz w:val="24"/>
                <w:szCs w:val="24"/>
              </w:rPr>
              <w:t>субтитрования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для слабослышащих </w:t>
            </w:r>
            <w:r w:rsidR="008F5752">
              <w:rPr>
                <w:rFonts w:ascii="Liberation Serif" w:hAnsi="Liberation Serif" w:cs="Times New Roman"/>
                <w:sz w:val="24"/>
                <w:szCs w:val="24"/>
              </w:rPr>
              <w:t xml:space="preserve"> и глухих зрителей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F5281" w:rsidRPr="00F672BD" w:rsidRDefault="000F5281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30.09.2019</w:t>
            </w:r>
          </w:p>
        </w:tc>
        <w:tc>
          <w:tcPr>
            <w:tcW w:w="2693" w:type="dxa"/>
          </w:tcPr>
          <w:p w:rsidR="000F5281" w:rsidRPr="00F672BD" w:rsidRDefault="000F5281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>Сатюкова</w:t>
            </w:r>
            <w:proofErr w:type="spellEnd"/>
            <w:r w:rsidRPr="00F672B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Мария Алексеевна, заместитель директора по общим вопросам</w:t>
            </w:r>
          </w:p>
        </w:tc>
        <w:tc>
          <w:tcPr>
            <w:tcW w:w="2476" w:type="dxa"/>
          </w:tcPr>
          <w:p w:rsidR="000F5281" w:rsidRPr="00F672BD" w:rsidRDefault="000F5281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restart"/>
          </w:tcPr>
          <w:p w:rsidR="000F5281" w:rsidRPr="00F672BD" w:rsidRDefault="000F5281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F5281" w:rsidRPr="00F672BD" w:rsidTr="007109D8">
        <w:tc>
          <w:tcPr>
            <w:tcW w:w="2802" w:type="dxa"/>
            <w:vMerge/>
          </w:tcPr>
          <w:p w:rsidR="000F5281" w:rsidRPr="00F672BD" w:rsidRDefault="000F5281" w:rsidP="007109D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5281" w:rsidRPr="00F672BD" w:rsidRDefault="000F5281" w:rsidP="007109D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81" w:rsidRPr="00F672BD" w:rsidRDefault="000F5281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281" w:rsidRPr="00F672BD" w:rsidRDefault="000F5281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0F5281" w:rsidRPr="00F672BD" w:rsidRDefault="000F5281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/>
          </w:tcPr>
          <w:p w:rsidR="000F5281" w:rsidRPr="00F672BD" w:rsidRDefault="000F5281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F5281" w:rsidRPr="00F672BD" w:rsidTr="007109D8">
        <w:tc>
          <w:tcPr>
            <w:tcW w:w="14992" w:type="dxa"/>
            <w:gridSpan w:val="7"/>
          </w:tcPr>
          <w:p w:rsidR="000F5281" w:rsidRPr="00F672BD" w:rsidRDefault="000F5281" w:rsidP="007109D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. </w:t>
            </w:r>
            <w:r w:rsidRPr="00F672B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Доброжелательность, вежливость работников организации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или  федерального учреждения медико-социальной экспертизы</w:t>
            </w:r>
          </w:p>
        </w:tc>
      </w:tr>
      <w:tr w:rsidR="000F5281" w:rsidRPr="00F672BD" w:rsidTr="006E6434">
        <w:trPr>
          <w:trHeight w:val="311"/>
        </w:trPr>
        <w:tc>
          <w:tcPr>
            <w:tcW w:w="14992" w:type="dxa"/>
            <w:gridSpan w:val="7"/>
          </w:tcPr>
          <w:p w:rsidR="000F5281" w:rsidRPr="00F672BD" w:rsidRDefault="000F5281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F5281" w:rsidRPr="00F672BD" w:rsidTr="007109D8">
        <w:tc>
          <w:tcPr>
            <w:tcW w:w="14992" w:type="dxa"/>
            <w:gridSpan w:val="7"/>
          </w:tcPr>
          <w:p w:rsidR="000F5281" w:rsidRPr="00F672BD" w:rsidRDefault="000F5281" w:rsidP="007109D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. </w:t>
            </w:r>
            <w:r w:rsidRPr="00F672BD">
              <w:rPr>
                <w:rFonts w:ascii="Liberation Serif" w:hAnsi="Liberation Serif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0F5281" w:rsidRPr="00F672BD" w:rsidTr="006E6434">
        <w:trPr>
          <w:trHeight w:val="264"/>
        </w:trPr>
        <w:tc>
          <w:tcPr>
            <w:tcW w:w="14992" w:type="dxa"/>
            <w:gridSpan w:val="7"/>
          </w:tcPr>
          <w:p w:rsidR="000F5281" w:rsidRPr="00F672BD" w:rsidRDefault="000F5281" w:rsidP="007109D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586A2E" w:rsidRPr="00F672BD" w:rsidRDefault="00586A2E" w:rsidP="00586A2E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586A2E" w:rsidRDefault="00586A2E" w:rsidP="00586A2E"/>
    <w:p w:rsidR="00DB3D89" w:rsidRDefault="00DB3D89"/>
    <w:sectPr w:rsidR="00DB3D89" w:rsidSect="00060A5C">
      <w:pgSz w:w="16838" w:h="11906" w:orient="landscape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6A2E"/>
    <w:rsid w:val="0002408E"/>
    <w:rsid w:val="000F5281"/>
    <w:rsid w:val="00166392"/>
    <w:rsid w:val="002133CA"/>
    <w:rsid w:val="00232374"/>
    <w:rsid w:val="002A004B"/>
    <w:rsid w:val="005708F0"/>
    <w:rsid w:val="00586A2E"/>
    <w:rsid w:val="005B3D08"/>
    <w:rsid w:val="005C376C"/>
    <w:rsid w:val="00695B00"/>
    <w:rsid w:val="006E6434"/>
    <w:rsid w:val="008F5752"/>
    <w:rsid w:val="009B12B8"/>
    <w:rsid w:val="009B1B50"/>
    <w:rsid w:val="009F3995"/>
    <w:rsid w:val="00AB7343"/>
    <w:rsid w:val="00AE112B"/>
    <w:rsid w:val="00B76B7C"/>
    <w:rsid w:val="00CD3661"/>
    <w:rsid w:val="00D965C9"/>
    <w:rsid w:val="00DB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2E"/>
    <w:pPr>
      <w:ind w:left="720"/>
      <w:contextualSpacing/>
    </w:pPr>
  </w:style>
  <w:style w:type="table" w:styleId="a4">
    <w:name w:val="Table Grid"/>
    <w:basedOn w:val="a1"/>
    <w:uiPriority w:val="59"/>
    <w:rsid w:val="00586A2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6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Strong"/>
    <w:basedOn w:val="a0"/>
    <w:uiPriority w:val="22"/>
    <w:qFormat/>
    <w:rsid w:val="00586A2E"/>
    <w:rPr>
      <w:b/>
      <w:bCs/>
    </w:rPr>
  </w:style>
  <w:style w:type="paragraph" w:styleId="a6">
    <w:name w:val="No Spacing"/>
    <w:uiPriority w:val="1"/>
    <w:qFormat/>
    <w:rsid w:val="00586A2E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586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2023-11-15T05:22:00Z</dcterms:created>
  <dcterms:modified xsi:type="dcterms:W3CDTF">2023-11-15T05:22:00Z</dcterms:modified>
</cp:coreProperties>
</file>